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07C1" w14:textId="7E04EE18" w:rsidR="00BF6DA2" w:rsidRPr="00D671AB" w:rsidRDefault="005D6C08" w:rsidP="005D6C08">
      <w:pPr>
        <w:jc w:val="center"/>
        <w:rPr>
          <w:rFonts w:ascii="Ebrima" w:hAnsi="Ebrima"/>
          <w:b/>
          <w:sz w:val="28"/>
        </w:rPr>
      </w:pPr>
      <w:r w:rsidRPr="00D671AB">
        <w:rPr>
          <w:rFonts w:ascii="Ebrima" w:hAnsi="Ebrima"/>
          <w:b/>
          <w:sz w:val="28"/>
        </w:rPr>
        <w:t xml:space="preserve">Managing Corporate Compliance in “Hybrid” </w:t>
      </w:r>
      <w:r w:rsidR="001B6D88" w:rsidRPr="00D671AB">
        <w:rPr>
          <w:rFonts w:ascii="Ebrima" w:hAnsi="Ebrima"/>
          <w:b/>
          <w:sz w:val="28"/>
        </w:rPr>
        <w:t xml:space="preserve">Healthcare </w:t>
      </w:r>
      <w:r w:rsidRPr="00D671AB">
        <w:rPr>
          <w:rFonts w:ascii="Ebrima" w:hAnsi="Ebrima"/>
          <w:b/>
          <w:sz w:val="28"/>
        </w:rPr>
        <w:t>Organization</w:t>
      </w:r>
      <w:r w:rsidR="001B6D88" w:rsidRPr="00D671AB">
        <w:rPr>
          <w:rFonts w:ascii="Ebrima" w:hAnsi="Ebrima"/>
          <w:b/>
          <w:sz w:val="28"/>
        </w:rPr>
        <w:t>s</w:t>
      </w:r>
    </w:p>
    <w:p w14:paraId="7B9A49AC" w14:textId="77777777" w:rsidR="001B6D88" w:rsidRPr="002F17AB" w:rsidRDefault="001B6D88" w:rsidP="002F17AB">
      <w:pPr>
        <w:jc w:val="both"/>
        <w:rPr>
          <w:rFonts w:ascii="Ebrima" w:hAnsi="Ebrima"/>
          <w:sz w:val="16"/>
          <w:szCs w:val="18"/>
        </w:rPr>
      </w:pPr>
    </w:p>
    <w:p w14:paraId="06F18255" w14:textId="2330DB94" w:rsidR="00732AB7" w:rsidRPr="00D671AB" w:rsidRDefault="005D6C08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Establishing an effective corporate compliance program, the</w:t>
      </w:r>
      <w:r w:rsidR="00296C7B" w:rsidRPr="00D671AB">
        <w:rPr>
          <w:rFonts w:ascii="Ebrima" w:hAnsi="Ebrima"/>
          <w:sz w:val="20"/>
        </w:rPr>
        <w:t>n</w:t>
      </w:r>
      <w:r w:rsidRPr="00D671AB">
        <w:rPr>
          <w:rFonts w:ascii="Ebrima" w:hAnsi="Ebrima"/>
          <w:sz w:val="20"/>
        </w:rPr>
        <w:t xml:space="preserve"> managing and maintaining the program, is a complex and often difficult proposition for </w:t>
      </w:r>
      <w:r w:rsidR="00296C7B" w:rsidRPr="00D671AB">
        <w:rPr>
          <w:rFonts w:ascii="Ebrima" w:hAnsi="Ebrima"/>
          <w:sz w:val="20"/>
        </w:rPr>
        <w:t xml:space="preserve">the traditional </w:t>
      </w:r>
      <w:r w:rsidRPr="00D671AB">
        <w:rPr>
          <w:rFonts w:ascii="Ebrima" w:hAnsi="Ebrima"/>
          <w:sz w:val="20"/>
        </w:rPr>
        <w:t xml:space="preserve">health care provider or health system.  When the health system is part of a “hybrid” organization, those tasks </w:t>
      </w:r>
      <w:r w:rsidR="00296C7B" w:rsidRPr="00D671AB">
        <w:rPr>
          <w:rFonts w:ascii="Ebrima" w:hAnsi="Ebrima"/>
          <w:sz w:val="20"/>
        </w:rPr>
        <w:t xml:space="preserve">amplify in complexity to connect traditional care delivery to a completely parallel concept business workflow. </w:t>
      </w:r>
      <w:r w:rsidR="00732AB7" w:rsidRPr="00D671AB">
        <w:rPr>
          <w:rFonts w:ascii="Ebrima" w:hAnsi="Ebrima"/>
          <w:sz w:val="20"/>
        </w:rPr>
        <w:t xml:space="preserve"> </w:t>
      </w:r>
      <w:r w:rsidR="00296C7B" w:rsidRPr="00D671AB">
        <w:rPr>
          <w:rFonts w:ascii="Ebrima" w:hAnsi="Ebrima"/>
          <w:sz w:val="20"/>
        </w:rPr>
        <w:t xml:space="preserve">While business </w:t>
      </w:r>
      <w:r w:rsidR="00E25FAC" w:rsidRPr="00D671AB">
        <w:rPr>
          <w:rFonts w:ascii="Ebrima" w:hAnsi="Ebrima"/>
          <w:sz w:val="20"/>
        </w:rPr>
        <w:t xml:space="preserve">and health care </w:t>
      </w:r>
      <w:r w:rsidR="00296C7B" w:rsidRPr="00D671AB">
        <w:rPr>
          <w:rFonts w:ascii="Ebrima" w:hAnsi="Ebrima"/>
          <w:sz w:val="20"/>
        </w:rPr>
        <w:t>compliance ha</w:t>
      </w:r>
      <w:r w:rsidR="00E25FAC" w:rsidRPr="00D671AB">
        <w:rPr>
          <w:rFonts w:ascii="Ebrima" w:hAnsi="Ebrima"/>
          <w:sz w:val="20"/>
        </w:rPr>
        <w:t>ve underlying princ</w:t>
      </w:r>
      <w:r w:rsidR="00164DDF" w:rsidRPr="00D671AB">
        <w:rPr>
          <w:rFonts w:ascii="Ebrima" w:hAnsi="Ebrima"/>
          <w:sz w:val="20"/>
        </w:rPr>
        <w:t>ipal</w:t>
      </w:r>
      <w:r w:rsidR="00296C7B" w:rsidRPr="00D671AB">
        <w:rPr>
          <w:rFonts w:ascii="Ebrima" w:hAnsi="Ebrima"/>
          <w:sz w:val="20"/>
        </w:rPr>
        <w:t xml:space="preserve"> similarities to ‘always do the right thing’ regardless of the service</w:t>
      </w:r>
      <w:r w:rsidR="00E25FAC" w:rsidRPr="00D671AB">
        <w:rPr>
          <w:rFonts w:ascii="Ebrima" w:hAnsi="Ebrima"/>
          <w:sz w:val="20"/>
        </w:rPr>
        <w:t xml:space="preserve"> being delivered</w:t>
      </w:r>
      <w:r w:rsidR="00296C7B" w:rsidRPr="00D671AB">
        <w:rPr>
          <w:rFonts w:ascii="Ebrima" w:hAnsi="Ebrima"/>
          <w:sz w:val="20"/>
        </w:rPr>
        <w:t xml:space="preserve">, </w:t>
      </w:r>
      <w:r w:rsidR="00732AB7" w:rsidRPr="00D671AB">
        <w:rPr>
          <w:rFonts w:ascii="Ebrima" w:hAnsi="Ebrima"/>
          <w:sz w:val="20"/>
        </w:rPr>
        <w:t xml:space="preserve">compliance needs for </w:t>
      </w:r>
      <w:r w:rsidR="00296C7B" w:rsidRPr="00D671AB">
        <w:rPr>
          <w:rFonts w:ascii="Ebrima" w:hAnsi="Ebrima"/>
          <w:sz w:val="20"/>
        </w:rPr>
        <w:t xml:space="preserve">the health care delivery business component </w:t>
      </w:r>
      <w:r w:rsidR="00937AAB">
        <w:rPr>
          <w:rFonts w:ascii="Ebrima" w:hAnsi="Ebrima"/>
          <w:sz w:val="20"/>
        </w:rPr>
        <w:t>c</w:t>
      </w:r>
      <w:r w:rsidR="00937AAB">
        <w:rPr>
          <w:rFonts w:ascii="Ebrima" w:hAnsi="Ebrima"/>
          <w:sz w:val="20"/>
          <w:szCs w:val="20"/>
        </w:rPr>
        <w:t>an be v</w:t>
      </w:r>
      <w:r w:rsidR="00B26CFD" w:rsidRPr="00B26CFD">
        <w:rPr>
          <w:rFonts w:ascii="Ebrima" w:hAnsi="Ebrima"/>
          <w:sz w:val="20"/>
          <w:szCs w:val="20"/>
        </w:rPr>
        <w:t>astly</w:t>
      </w:r>
      <w:r w:rsidR="00732AB7" w:rsidRPr="00D671AB">
        <w:rPr>
          <w:rFonts w:ascii="Ebrima" w:hAnsi="Ebrima"/>
          <w:sz w:val="20"/>
        </w:rPr>
        <w:t xml:space="preserve"> different from the needs of the </w:t>
      </w:r>
      <w:r w:rsidR="00296C7B" w:rsidRPr="00D671AB">
        <w:rPr>
          <w:rFonts w:ascii="Ebrima" w:hAnsi="Ebrima"/>
          <w:sz w:val="20"/>
        </w:rPr>
        <w:t xml:space="preserve">business </w:t>
      </w:r>
      <w:r w:rsidR="00732AB7" w:rsidRPr="00D671AB">
        <w:rPr>
          <w:rFonts w:ascii="Ebrima" w:hAnsi="Ebrima"/>
          <w:sz w:val="20"/>
        </w:rPr>
        <w:t xml:space="preserve">entity. </w:t>
      </w:r>
      <w:r w:rsidR="00296C7B" w:rsidRPr="00D671AB">
        <w:rPr>
          <w:rFonts w:ascii="Ebrima" w:hAnsi="Ebrima"/>
          <w:sz w:val="20"/>
        </w:rPr>
        <w:t xml:space="preserve"> </w:t>
      </w:r>
      <w:r w:rsidR="00732AB7" w:rsidRPr="00D671AB">
        <w:rPr>
          <w:rFonts w:ascii="Ebrima" w:hAnsi="Ebrima"/>
          <w:sz w:val="20"/>
        </w:rPr>
        <w:t xml:space="preserve">In some cases, there may </w:t>
      </w:r>
      <w:r w:rsidR="00296C7B" w:rsidRPr="00D671AB">
        <w:rPr>
          <w:rFonts w:ascii="Ebrima" w:hAnsi="Ebrima"/>
          <w:sz w:val="20"/>
        </w:rPr>
        <w:t xml:space="preserve">even </w:t>
      </w:r>
      <w:r w:rsidR="00732AB7" w:rsidRPr="00D671AB">
        <w:rPr>
          <w:rFonts w:ascii="Ebrima" w:hAnsi="Ebrima"/>
          <w:sz w:val="20"/>
        </w:rPr>
        <w:t xml:space="preserve">be separate compliance plans </w:t>
      </w:r>
      <w:r w:rsidR="00296C7B" w:rsidRPr="00D671AB">
        <w:rPr>
          <w:rFonts w:ascii="Ebrima" w:hAnsi="Ebrima"/>
          <w:sz w:val="20"/>
        </w:rPr>
        <w:t xml:space="preserve">and expectations </w:t>
      </w:r>
      <w:r w:rsidR="00732AB7" w:rsidRPr="00D671AB">
        <w:rPr>
          <w:rFonts w:ascii="Ebrima" w:hAnsi="Ebrima"/>
          <w:sz w:val="20"/>
        </w:rPr>
        <w:t xml:space="preserve">for </w:t>
      </w:r>
      <w:r w:rsidR="00296C7B" w:rsidRPr="00D671AB">
        <w:rPr>
          <w:rFonts w:ascii="Ebrima" w:hAnsi="Ebrima"/>
          <w:sz w:val="20"/>
        </w:rPr>
        <w:t xml:space="preserve">each business entity component </w:t>
      </w:r>
      <w:r w:rsidR="00732AB7" w:rsidRPr="00D671AB">
        <w:rPr>
          <w:rFonts w:ascii="Ebrima" w:hAnsi="Ebrima"/>
          <w:sz w:val="20"/>
        </w:rPr>
        <w:t>within the larger organization.</w:t>
      </w:r>
      <w:r w:rsidRPr="00D671AB">
        <w:rPr>
          <w:rFonts w:ascii="Ebrima" w:hAnsi="Ebrima"/>
          <w:sz w:val="20"/>
        </w:rPr>
        <w:t xml:space="preserve"> </w:t>
      </w:r>
    </w:p>
    <w:p w14:paraId="57212790" w14:textId="70EB1970" w:rsidR="00296C7B" w:rsidRPr="002F17AB" w:rsidRDefault="00296C7B" w:rsidP="005D6C08">
      <w:pPr>
        <w:jc w:val="both"/>
        <w:rPr>
          <w:rFonts w:ascii="Ebrima" w:hAnsi="Ebrima"/>
          <w:sz w:val="16"/>
          <w:szCs w:val="18"/>
        </w:rPr>
      </w:pPr>
    </w:p>
    <w:p w14:paraId="4661AAA6" w14:textId="77777777" w:rsidR="00CF67E7" w:rsidRPr="00D671AB" w:rsidRDefault="00CF67E7" w:rsidP="00CF67E7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The seven (plus one) elements of an effective compliance program are well known.</w:t>
      </w:r>
    </w:p>
    <w:p w14:paraId="2BDC7999" w14:textId="78BA2CFD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Compliance Officer</w:t>
      </w:r>
      <w:r w:rsidR="00B26CFD">
        <w:rPr>
          <w:rFonts w:ascii="Ebrima" w:hAnsi="Ebrima"/>
          <w:sz w:val="20"/>
          <w:szCs w:val="20"/>
        </w:rPr>
        <w:t xml:space="preserve"> </w:t>
      </w:r>
      <w:r w:rsidRPr="00B26CFD">
        <w:rPr>
          <w:rFonts w:ascii="Ebrima" w:hAnsi="Ebrima"/>
          <w:sz w:val="20"/>
          <w:szCs w:val="20"/>
        </w:rPr>
        <w:t>/</w:t>
      </w:r>
      <w:r w:rsidR="00B26CFD">
        <w:rPr>
          <w:rFonts w:ascii="Ebrima" w:hAnsi="Ebrima"/>
          <w:sz w:val="20"/>
          <w:szCs w:val="20"/>
        </w:rPr>
        <w:t xml:space="preserve"> </w:t>
      </w:r>
      <w:r w:rsidRPr="00D671AB">
        <w:rPr>
          <w:rFonts w:ascii="Ebrima" w:hAnsi="Ebrima"/>
          <w:sz w:val="20"/>
        </w:rPr>
        <w:t>Commitment to Compliance Program (“Tone from the Top”)</w:t>
      </w:r>
    </w:p>
    <w:p w14:paraId="4431AD83" w14:textId="77777777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Written Standards (e.g., Compliance Plan, Code of Conduct, Policies and Procedures, etc.)</w:t>
      </w:r>
    </w:p>
    <w:p w14:paraId="40DA46A4" w14:textId="195CCC57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Training</w:t>
      </w:r>
      <w:r w:rsidR="00B26CFD">
        <w:rPr>
          <w:rFonts w:ascii="Ebrima" w:hAnsi="Ebrima"/>
          <w:sz w:val="20"/>
          <w:szCs w:val="20"/>
        </w:rPr>
        <w:t xml:space="preserve"> </w:t>
      </w:r>
      <w:r w:rsidRPr="00B26CFD">
        <w:rPr>
          <w:rFonts w:ascii="Ebrima" w:hAnsi="Ebrima"/>
          <w:sz w:val="20"/>
          <w:szCs w:val="20"/>
        </w:rPr>
        <w:t>/</w:t>
      </w:r>
      <w:r w:rsidR="00B26CFD">
        <w:rPr>
          <w:rFonts w:ascii="Ebrima" w:hAnsi="Ebrima"/>
          <w:sz w:val="20"/>
          <w:szCs w:val="20"/>
        </w:rPr>
        <w:t xml:space="preserve"> </w:t>
      </w:r>
      <w:r w:rsidRPr="00D671AB">
        <w:rPr>
          <w:rFonts w:ascii="Ebrima" w:hAnsi="Ebrima"/>
          <w:sz w:val="20"/>
        </w:rPr>
        <w:t>Education</w:t>
      </w:r>
    </w:p>
    <w:p w14:paraId="10D4E96F" w14:textId="77777777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Audit</w:t>
      </w:r>
    </w:p>
    <w:p w14:paraId="530BF15C" w14:textId="1817E4C6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Open Communication</w:t>
      </w:r>
      <w:r w:rsidR="00B26CFD">
        <w:rPr>
          <w:rFonts w:ascii="Ebrima" w:hAnsi="Ebrima"/>
          <w:sz w:val="20"/>
          <w:szCs w:val="20"/>
        </w:rPr>
        <w:t xml:space="preserve"> </w:t>
      </w:r>
      <w:r w:rsidRPr="00B26CFD">
        <w:rPr>
          <w:rFonts w:ascii="Ebrima" w:hAnsi="Ebrima"/>
          <w:sz w:val="20"/>
          <w:szCs w:val="20"/>
        </w:rPr>
        <w:t>/</w:t>
      </w:r>
      <w:r w:rsidR="00B26CFD">
        <w:rPr>
          <w:rFonts w:ascii="Ebrima" w:hAnsi="Ebrima"/>
          <w:sz w:val="20"/>
          <w:szCs w:val="20"/>
        </w:rPr>
        <w:t xml:space="preserve"> </w:t>
      </w:r>
      <w:r w:rsidRPr="00D671AB">
        <w:rPr>
          <w:rFonts w:ascii="Ebrima" w:hAnsi="Ebrima"/>
          <w:sz w:val="20"/>
        </w:rPr>
        <w:t>Hotline</w:t>
      </w:r>
    </w:p>
    <w:p w14:paraId="0C372C71" w14:textId="77777777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Investigation of Complaints</w:t>
      </w:r>
    </w:p>
    <w:p w14:paraId="3BB0B29C" w14:textId="77777777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Well-Publicized Disciplinary Standards</w:t>
      </w:r>
    </w:p>
    <w:p w14:paraId="04C0D00F" w14:textId="67B03820" w:rsidR="00CF67E7" w:rsidRPr="00D671AB" w:rsidRDefault="00CF67E7" w:rsidP="00CF67E7">
      <w:pPr>
        <w:pStyle w:val="ListParagraph"/>
        <w:numPr>
          <w:ilvl w:val="0"/>
          <w:numId w:val="2"/>
        </w:num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Risk Assessments</w:t>
      </w:r>
      <w:r w:rsidR="00B26CFD">
        <w:rPr>
          <w:rFonts w:ascii="Ebrima" w:hAnsi="Ebrima"/>
          <w:sz w:val="20"/>
          <w:szCs w:val="20"/>
        </w:rPr>
        <w:t xml:space="preserve"> </w:t>
      </w:r>
      <w:r w:rsidRPr="00B26CFD">
        <w:rPr>
          <w:rFonts w:ascii="Ebrima" w:hAnsi="Ebrima"/>
          <w:sz w:val="20"/>
          <w:szCs w:val="20"/>
        </w:rPr>
        <w:t>/</w:t>
      </w:r>
      <w:r w:rsidR="00B26CFD">
        <w:rPr>
          <w:rFonts w:ascii="Ebrima" w:hAnsi="Ebrima"/>
          <w:sz w:val="20"/>
          <w:szCs w:val="20"/>
        </w:rPr>
        <w:t xml:space="preserve"> </w:t>
      </w:r>
      <w:r w:rsidRPr="00D671AB">
        <w:rPr>
          <w:rFonts w:ascii="Ebrima" w:hAnsi="Ebrima"/>
          <w:sz w:val="20"/>
        </w:rPr>
        <w:t>Risk Management</w:t>
      </w:r>
    </w:p>
    <w:p w14:paraId="4B7C632A" w14:textId="77777777" w:rsidR="00DA3F55" w:rsidRPr="002F17AB" w:rsidRDefault="00DA3F55" w:rsidP="002F17AB">
      <w:pPr>
        <w:jc w:val="both"/>
        <w:rPr>
          <w:rFonts w:ascii="Ebrima" w:hAnsi="Ebrima"/>
          <w:sz w:val="16"/>
          <w:szCs w:val="18"/>
        </w:rPr>
      </w:pPr>
    </w:p>
    <w:p w14:paraId="73FA8A91" w14:textId="79567C66" w:rsidR="00CF67E7" w:rsidRPr="00D671AB" w:rsidRDefault="00CF67E7" w:rsidP="00CF67E7">
      <w:pPr>
        <w:ind w:left="60"/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However, some of the elements may not uniformly fit every aspect of the larger healthcare organization. </w:t>
      </w:r>
      <w:r w:rsidR="000D4D65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Specifically, compliance plan focus, policies and procedures, training and education, audits and risk assessments may be different. </w:t>
      </w:r>
    </w:p>
    <w:p w14:paraId="7AE97ECF" w14:textId="77777777" w:rsidR="004640CF" w:rsidRPr="002F17AB" w:rsidRDefault="004640CF" w:rsidP="005D6C08">
      <w:pPr>
        <w:jc w:val="both"/>
        <w:rPr>
          <w:rFonts w:ascii="Ebrima" w:hAnsi="Ebrima"/>
          <w:sz w:val="16"/>
          <w:szCs w:val="18"/>
        </w:rPr>
      </w:pPr>
    </w:p>
    <w:p w14:paraId="733D3C29" w14:textId="5AF795E3" w:rsidR="005D6C08" w:rsidRPr="00D671AB" w:rsidRDefault="00296C7B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Here </w:t>
      </w:r>
      <w:r w:rsidR="005D6C08" w:rsidRPr="00D671AB">
        <w:rPr>
          <w:rFonts w:ascii="Ebrima" w:hAnsi="Ebrima"/>
          <w:sz w:val="20"/>
        </w:rPr>
        <w:t xml:space="preserve">are </w:t>
      </w:r>
      <w:r w:rsidR="004640CF" w:rsidRPr="00D671AB">
        <w:rPr>
          <w:rFonts w:ascii="Ebrima" w:hAnsi="Ebrima"/>
          <w:sz w:val="20"/>
        </w:rPr>
        <w:t xml:space="preserve">a few </w:t>
      </w:r>
      <w:r w:rsidR="005D6C08" w:rsidRPr="00D671AB">
        <w:rPr>
          <w:rFonts w:ascii="Ebrima" w:hAnsi="Ebrima"/>
          <w:sz w:val="20"/>
        </w:rPr>
        <w:t xml:space="preserve">examples of these types of </w:t>
      </w:r>
      <w:r w:rsidR="00A722D7" w:rsidRPr="00D671AB">
        <w:rPr>
          <w:rFonts w:ascii="Ebrima" w:hAnsi="Ebrima"/>
          <w:sz w:val="20"/>
        </w:rPr>
        <w:t>h</w:t>
      </w:r>
      <w:r w:rsidRPr="00D671AB">
        <w:rPr>
          <w:rFonts w:ascii="Ebrima" w:hAnsi="Ebrima"/>
          <w:sz w:val="20"/>
        </w:rPr>
        <w:t xml:space="preserve">ybrid </w:t>
      </w:r>
      <w:r w:rsidR="005D6C08" w:rsidRPr="00D671AB">
        <w:rPr>
          <w:rFonts w:ascii="Ebrima" w:hAnsi="Ebrima"/>
          <w:sz w:val="20"/>
        </w:rPr>
        <w:t>entities</w:t>
      </w:r>
      <w:r w:rsidR="004640CF" w:rsidRPr="00D671AB">
        <w:rPr>
          <w:rFonts w:ascii="Ebrima" w:hAnsi="Ebrima"/>
          <w:sz w:val="20"/>
        </w:rPr>
        <w:t xml:space="preserve"> below</w:t>
      </w:r>
      <w:r w:rsidR="005D6C08" w:rsidRPr="00D671AB">
        <w:rPr>
          <w:rFonts w:ascii="Ebrima" w:hAnsi="Ebrima"/>
          <w:sz w:val="20"/>
        </w:rPr>
        <w:t xml:space="preserve">. </w:t>
      </w:r>
    </w:p>
    <w:p w14:paraId="3D5338DC" w14:textId="77777777" w:rsidR="005D6C08" w:rsidRPr="002F17AB" w:rsidRDefault="005D6C08" w:rsidP="005D6C08">
      <w:pPr>
        <w:jc w:val="both"/>
        <w:rPr>
          <w:rFonts w:ascii="Ebrima" w:hAnsi="Ebrima"/>
          <w:sz w:val="16"/>
          <w:szCs w:val="18"/>
        </w:rPr>
      </w:pPr>
    </w:p>
    <w:p w14:paraId="13817F6C" w14:textId="3CB92FFB" w:rsidR="005D6C08" w:rsidRPr="00D671AB" w:rsidRDefault="005D6C08" w:rsidP="005D6C08">
      <w:pPr>
        <w:jc w:val="both"/>
        <w:rPr>
          <w:rFonts w:ascii="Ebrima" w:hAnsi="Ebrima"/>
          <w:sz w:val="20"/>
          <w:u w:val="single"/>
        </w:rPr>
      </w:pPr>
      <w:r w:rsidRPr="00D671AB">
        <w:rPr>
          <w:rFonts w:ascii="Ebrima" w:hAnsi="Ebrima"/>
          <w:sz w:val="20"/>
          <w:u w:val="single"/>
        </w:rPr>
        <w:t>Health System and Charitable Foundation</w:t>
      </w:r>
    </w:p>
    <w:p w14:paraId="3E032AA9" w14:textId="52901498" w:rsidR="005D6C08" w:rsidRPr="00D671AB" w:rsidRDefault="0015070A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A corporate compliance program for a health system includes training and education geared toward healthcare rules and regulations on scopes of practice, provision of care, and billing and coding claims, at a minimum.</w:t>
      </w:r>
      <w:r w:rsidR="00296C7B" w:rsidRPr="00D671AB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 These types and amounts of training are not appropriate for a charitable foundation staff or Board of Trustees.</w:t>
      </w:r>
      <w:r w:rsidR="00296C7B" w:rsidRPr="00D671AB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 Additionally, the </w:t>
      </w:r>
      <w:r w:rsidR="00DA3F55" w:rsidRPr="00D671AB">
        <w:rPr>
          <w:rFonts w:ascii="Ebrima" w:hAnsi="Ebrima"/>
          <w:sz w:val="20"/>
        </w:rPr>
        <w:t xml:space="preserve">most appropriate and effective </w:t>
      </w:r>
      <w:r w:rsidR="00C05398" w:rsidRPr="00D671AB">
        <w:rPr>
          <w:rFonts w:ascii="Ebrima" w:hAnsi="Ebrima"/>
          <w:sz w:val="20"/>
        </w:rPr>
        <w:t xml:space="preserve">training </w:t>
      </w:r>
      <w:r w:rsidRPr="00D671AB">
        <w:rPr>
          <w:rFonts w:ascii="Ebrima" w:hAnsi="Ebrima"/>
          <w:sz w:val="20"/>
        </w:rPr>
        <w:t>format</w:t>
      </w:r>
      <w:r w:rsidR="00C05398" w:rsidRPr="00D671AB">
        <w:rPr>
          <w:rFonts w:ascii="Ebrima" w:hAnsi="Ebrima"/>
          <w:sz w:val="20"/>
        </w:rPr>
        <w:t>s</w:t>
      </w:r>
      <w:r w:rsidRPr="00D671AB">
        <w:rPr>
          <w:rFonts w:ascii="Ebrima" w:hAnsi="Ebrima"/>
          <w:sz w:val="20"/>
        </w:rPr>
        <w:t xml:space="preserve"> may be significantly different (e.g., </w:t>
      </w:r>
      <w:r w:rsidR="00C05398" w:rsidRPr="00D671AB">
        <w:rPr>
          <w:rFonts w:ascii="Ebrima" w:hAnsi="Ebrima"/>
          <w:sz w:val="20"/>
        </w:rPr>
        <w:t>online vs. in-person.)</w:t>
      </w:r>
      <w:r w:rsidRPr="00D671AB">
        <w:rPr>
          <w:rFonts w:ascii="Ebrima" w:hAnsi="Ebrima"/>
          <w:sz w:val="20"/>
        </w:rPr>
        <w:t xml:space="preserve"> </w:t>
      </w:r>
      <w:r w:rsidR="00296C7B" w:rsidRPr="00D671AB">
        <w:rPr>
          <w:rFonts w:ascii="Ebrima" w:hAnsi="Ebrima"/>
          <w:sz w:val="20"/>
        </w:rPr>
        <w:t xml:space="preserve"> </w:t>
      </w:r>
      <w:r w:rsidR="00C05398" w:rsidRPr="00D671AB">
        <w:rPr>
          <w:rFonts w:ascii="Ebrima" w:hAnsi="Ebrima"/>
          <w:sz w:val="20"/>
        </w:rPr>
        <w:t>While there may be some cross-over in topics, such as Anti-Kickback Statute issues, among others, these are few.</w:t>
      </w:r>
    </w:p>
    <w:p w14:paraId="52026CE8" w14:textId="4218DBC5" w:rsidR="00C05398" w:rsidRPr="002F17AB" w:rsidRDefault="00C05398" w:rsidP="005D6C08">
      <w:pPr>
        <w:jc w:val="both"/>
        <w:rPr>
          <w:rFonts w:ascii="Ebrima" w:hAnsi="Ebrima"/>
          <w:sz w:val="16"/>
          <w:szCs w:val="18"/>
        </w:rPr>
      </w:pPr>
    </w:p>
    <w:p w14:paraId="4EB3E616" w14:textId="46CF8D82" w:rsidR="00C05398" w:rsidRPr="00D671AB" w:rsidRDefault="00C05398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Audits and risk assessments of the entities will focus on </w:t>
      </w:r>
      <w:r w:rsidR="00B26CFD" w:rsidRPr="00B26CFD">
        <w:rPr>
          <w:rFonts w:ascii="Ebrima" w:hAnsi="Ebrima"/>
          <w:sz w:val="20"/>
          <w:szCs w:val="20"/>
        </w:rPr>
        <w:t>quite</w:t>
      </w:r>
      <w:r w:rsidRPr="00D671AB">
        <w:rPr>
          <w:rFonts w:ascii="Ebrima" w:hAnsi="Ebrima"/>
          <w:sz w:val="20"/>
        </w:rPr>
        <w:t xml:space="preserve"> different things as well, </w:t>
      </w:r>
      <w:r w:rsidR="000D4D65">
        <w:rPr>
          <w:rFonts w:ascii="Ebrima" w:hAnsi="Ebrima"/>
          <w:sz w:val="20"/>
        </w:rPr>
        <w:t>similar to</w:t>
      </w:r>
      <w:r w:rsidRPr="00D671AB">
        <w:rPr>
          <w:rFonts w:ascii="Ebrima" w:hAnsi="Ebrima"/>
          <w:sz w:val="20"/>
        </w:rPr>
        <w:t xml:space="preserve"> the training topics.</w:t>
      </w:r>
    </w:p>
    <w:p w14:paraId="4C046617" w14:textId="77777777" w:rsidR="001B6D88" w:rsidRPr="002F17AB" w:rsidRDefault="001B6D88" w:rsidP="005D6C08">
      <w:pPr>
        <w:jc w:val="both"/>
        <w:rPr>
          <w:rFonts w:ascii="Ebrima" w:hAnsi="Ebrima"/>
          <w:sz w:val="16"/>
          <w:szCs w:val="18"/>
        </w:rPr>
      </w:pPr>
    </w:p>
    <w:p w14:paraId="00427569" w14:textId="6F5CA2E7" w:rsidR="005D6C08" w:rsidRPr="00D671AB" w:rsidRDefault="005D6C08" w:rsidP="005D6C08">
      <w:pPr>
        <w:jc w:val="both"/>
        <w:rPr>
          <w:rFonts w:ascii="Ebrima" w:hAnsi="Ebrima"/>
          <w:sz w:val="20"/>
          <w:u w:val="single"/>
        </w:rPr>
      </w:pPr>
      <w:r w:rsidRPr="00D671AB">
        <w:rPr>
          <w:rFonts w:ascii="Ebrima" w:hAnsi="Ebrima"/>
          <w:sz w:val="20"/>
          <w:u w:val="single"/>
        </w:rPr>
        <w:t>Health System and University</w:t>
      </w:r>
    </w:p>
    <w:p w14:paraId="4FE2653D" w14:textId="6E591A6D" w:rsidR="005D6C08" w:rsidRPr="00D671AB" w:rsidRDefault="00683BCE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>As opposed to healthcare systems, university compliance plans may focus on academic issues, government issues, athletic issues</w:t>
      </w:r>
      <w:r w:rsidR="00937AAB">
        <w:rPr>
          <w:rFonts w:ascii="Ebrima" w:hAnsi="Ebrima"/>
          <w:sz w:val="20"/>
        </w:rPr>
        <w:t>,</w:t>
      </w:r>
      <w:r w:rsidR="00DA3F55" w:rsidRPr="00D671AB">
        <w:rPr>
          <w:rFonts w:ascii="Ebrima" w:hAnsi="Ebrima"/>
          <w:sz w:val="20"/>
        </w:rPr>
        <w:t xml:space="preserve"> Title IX</w:t>
      </w:r>
      <w:r w:rsidR="00937AAB">
        <w:rPr>
          <w:rFonts w:ascii="Ebrima" w:hAnsi="Ebrima"/>
          <w:sz w:val="20"/>
        </w:rPr>
        <w:t>,</w:t>
      </w:r>
      <w:r w:rsidR="00DA3F55" w:rsidRPr="00D671AB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and others. </w:t>
      </w:r>
      <w:r w:rsidR="00296C7B" w:rsidRPr="00D671AB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These are not </w:t>
      </w:r>
      <w:r w:rsidR="00E25FAC" w:rsidRPr="00D671AB">
        <w:rPr>
          <w:rFonts w:ascii="Ebrima" w:hAnsi="Ebrima"/>
          <w:sz w:val="20"/>
        </w:rPr>
        <w:t xml:space="preserve">the type of </w:t>
      </w:r>
      <w:r w:rsidRPr="00D671AB">
        <w:rPr>
          <w:rFonts w:ascii="Ebrima" w:hAnsi="Ebrima"/>
          <w:sz w:val="20"/>
        </w:rPr>
        <w:t xml:space="preserve">issues one </w:t>
      </w:r>
      <w:r w:rsidR="00DA3F55" w:rsidRPr="00D671AB">
        <w:rPr>
          <w:rFonts w:ascii="Ebrima" w:hAnsi="Ebrima"/>
          <w:sz w:val="20"/>
        </w:rPr>
        <w:t>might</w:t>
      </w:r>
      <w:r w:rsidRPr="00D671AB">
        <w:rPr>
          <w:rFonts w:ascii="Ebrima" w:hAnsi="Ebrima"/>
          <w:sz w:val="20"/>
        </w:rPr>
        <w:t xml:space="preserve"> expect to see in a</w:t>
      </w:r>
      <w:r w:rsidR="00DA3F55" w:rsidRPr="00D671AB">
        <w:rPr>
          <w:rFonts w:ascii="Ebrima" w:hAnsi="Ebrima"/>
          <w:sz w:val="20"/>
        </w:rPr>
        <w:t xml:space="preserve"> typical</w:t>
      </w:r>
      <w:r w:rsidRPr="00D671AB">
        <w:rPr>
          <w:rFonts w:ascii="Ebrima" w:hAnsi="Ebrima"/>
          <w:sz w:val="20"/>
        </w:rPr>
        <w:t xml:space="preserve"> health system compliance plan. </w:t>
      </w:r>
    </w:p>
    <w:p w14:paraId="671B9738" w14:textId="28852C11" w:rsidR="005D6C08" w:rsidRPr="002F17AB" w:rsidRDefault="005D6C08" w:rsidP="005D6C08">
      <w:pPr>
        <w:jc w:val="both"/>
        <w:rPr>
          <w:rFonts w:ascii="Ebrima" w:hAnsi="Ebrima"/>
          <w:sz w:val="16"/>
          <w:szCs w:val="18"/>
        </w:rPr>
      </w:pPr>
    </w:p>
    <w:p w14:paraId="17F85129" w14:textId="3B52AF99" w:rsidR="005D6C08" w:rsidRPr="00D671AB" w:rsidRDefault="005D6C08" w:rsidP="005D6C08">
      <w:pPr>
        <w:jc w:val="both"/>
        <w:rPr>
          <w:rFonts w:ascii="Ebrima" w:hAnsi="Ebrima"/>
          <w:sz w:val="20"/>
          <w:u w:val="single"/>
        </w:rPr>
      </w:pPr>
      <w:r w:rsidRPr="00D671AB">
        <w:rPr>
          <w:rFonts w:ascii="Ebrima" w:hAnsi="Ebrima"/>
          <w:sz w:val="20"/>
          <w:u w:val="single"/>
        </w:rPr>
        <w:t>Health System and Private Equity Firm</w:t>
      </w:r>
    </w:p>
    <w:p w14:paraId="6E2763A2" w14:textId="06EF5FF9" w:rsidR="005D6C08" w:rsidRPr="00D671AB" w:rsidRDefault="00683BCE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Private equity firms </w:t>
      </w:r>
      <w:r w:rsidR="00CB69AF" w:rsidRPr="00D671AB">
        <w:rPr>
          <w:rFonts w:ascii="Ebrima" w:hAnsi="Ebrima"/>
          <w:sz w:val="20"/>
        </w:rPr>
        <w:t xml:space="preserve">must address </w:t>
      </w:r>
      <w:r w:rsidRPr="00D671AB">
        <w:rPr>
          <w:rFonts w:ascii="Ebrima" w:hAnsi="Ebrima"/>
          <w:sz w:val="20"/>
        </w:rPr>
        <w:t>Sarbanes-Oxley</w:t>
      </w:r>
      <w:r w:rsidR="00CB69AF" w:rsidRPr="00D671AB">
        <w:rPr>
          <w:rFonts w:ascii="Ebrima" w:hAnsi="Ebrima"/>
          <w:sz w:val="20"/>
        </w:rPr>
        <w:t xml:space="preserve"> Act requirements</w:t>
      </w:r>
      <w:r w:rsidRPr="00D671AB">
        <w:rPr>
          <w:rFonts w:ascii="Ebrima" w:hAnsi="Ebrima"/>
          <w:sz w:val="20"/>
        </w:rPr>
        <w:t>,</w:t>
      </w:r>
      <w:r w:rsidR="00CB69AF" w:rsidRPr="00D671AB">
        <w:rPr>
          <w:rFonts w:ascii="Ebrima" w:hAnsi="Ebrima"/>
          <w:sz w:val="20"/>
        </w:rPr>
        <w:t xml:space="preserve"> as well as SEC regulations, if publicly traded.</w:t>
      </w:r>
      <w:r w:rsidRPr="00D671AB">
        <w:rPr>
          <w:rFonts w:ascii="Ebrima" w:hAnsi="Ebrima"/>
          <w:sz w:val="20"/>
        </w:rPr>
        <w:t xml:space="preserve"> </w:t>
      </w:r>
      <w:r w:rsidR="00CB69AF" w:rsidRPr="00D671AB">
        <w:rPr>
          <w:rFonts w:ascii="Ebrima" w:hAnsi="Ebrima"/>
          <w:sz w:val="20"/>
        </w:rPr>
        <w:t xml:space="preserve"> The focus of the compliance efforts for this part of an entity would be vastly different in terms of training and audits.</w:t>
      </w:r>
    </w:p>
    <w:p w14:paraId="0B9C9E66" w14:textId="19863482" w:rsidR="001B6D88" w:rsidRPr="00D671AB" w:rsidRDefault="001B6D88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It is important for these entities to find common threads to support </w:t>
      </w:r>
      <w:r w:rsidR="00193C4F" w:rsidRPr="00D671AB">
        <w:rPr>
          <w:rFonts w:ascii="Ebrima" w:hAnsi="Ebrima"/>
          <w:sz w:val="20"/>
        </w:rPr>
        <w:t>each</w:t>
      </w:r>
      <w:r w:rsidRPr="00D671AB">
        <w:rPr>
          <w:rFonts w:ascii="Ebrima" w:hAnsi="Ebrima"/>
          <w:sz w:val="20"/>
        </w:rPr>
        <w:t xml:space="preserve"> other in their respective compliance functions and obligations.</w:t>
      </w:r>
      <w:r w:rsidR="000D4D65">
        <w:rPr>
          <w:rFonts w:ascii="Ebrima" w:hAnsi="Ebrima"/>
          <w:sz w:val="20"/>
        </w:rPr>
        <w:t xml:space="preserve"> </w:t>
      </w:r>
      <w:r w:rsidRPr="00D671AB">
        <w:rPr>
          <w:rFonts w:ascii="Ebrima" w:hAnsi="Ebrima"/>
          <w:sz w:val="20"/>
        </w:rPr>
        <w:t xml:space="preserve"> </w:t>
      </w:r>
      <w:r w:rsidR="001B007A" w:rsidRPr="00D671AB">
        <w:rPr>
          <w:rFonts w:ascii="Ebrima" w:hAnsi="Ebrima"/>
          <w:sz w:val="20"/>
        </w:rPr>
        <w:t>Be aware of the differences, but make sure to</w:t>
      </w:r>
      <w:r w:rsidR="00F66845" w:rsidRPr="00D671AB">
        <w:rPr>
          <w:rFonts w:ascii="Ebrima" w:hAnsi="Ebrima"/>
          <w:sz w:val="20"/>
        </w:rPr>
        <w:t xml:space="preserve"> address compliance in all entities.</w:t>
      </w:r>
      <w:r w:rsidR="001B007A" w:rsidRPr="00D671AB">
        <w:rPr>
          <w:rFonts w:ascii="Ebrima" w:hAnsi="Ebrima"/>
          <w:sz w:val="20"/>
        </w:rPr>
        <w:t xml:space="preserve"> </w:t>
      </w:r>
      <w:r w:rsidR="000D4D65">
        <w:rPr>
          <w:rFonts w:ascii="Ebrima" w:hAnsi="Ebrima"/>
          <w:sz w:val="20"/>
          <w:szCs w:val="20"/>
        </w:rPr>
        <w:t xml:space="preserve"> </w:t>
      </w:r>
      <w:r w:rsidRPr="00D671AB">
        <w:rPr>
          <w:rFonts w:ascii="Ebrima" w:hAnsi="Ebrima"/>
          <w:sz w:val="20"/>
        </w:rPr>
        <w:t xml:space="preserve">Focusing on communication between the entities to eliminate duplication of effort and to leverage resources appropriately is </w:t>
      </w:r>
      <w:r w:rsidR="00193C4F" w:rsidRPr="00D671AB">
        <w:rPr>
          <w:rFonts w:ascii="Ebrima" w:hAnsi="Ebrima"/>
          <w:sz w:val="20"/>
        </w:rPr>
        <w:t>one</w:t>
      </w:r>
      <w:r w:rsidRPr="00D671AB">
        <w:rPr>
          <w:rFonts w:ascii="Ebrima" w:hAnsi="Ebrima"/>
          <w:sz w:val="20"/>
        </w:rPr>
        <w:t xml:space="preserve"> key to success.</w:t>
      </w:r>
    </w:p>
    <w:p w14:paraId="1F269F1C" w14:textId="27B2BA08" w:rsidR="00DA3F55" w:rsidRPr="002F17AB" w:rsidRDefault="00DA3F55" w:rsidP="005D6C08">
      <w:pPr>
        <w:jc w:val="both"/>
        <w:rPr>
          <w:rFonts w:ascii="Ebrima" w:hAnsi="Ebrima"/>
          <w:sz w:val="16"/>
          <w:szCs w:val="18"/>
        </w:rPr>
      </w:pPr>
    </w:p>
    <w:p w14:paraId="0E979BFA" w14:textId="54A7ED1B" w:rsidR="00DA3F55" w:rsidRPr="00D671AB" w:rsidRDefault="00DA3F55" w:rsidP="005D6C08">
      <w:pPr>
        <w:jc w:val="both"/>
        <w:rPr>
          <w:rFonts w:ascii="Ebrima" w:hAnsi="Ebrima"/>
          <w:sz w:val="20"/>
        </w:rPr>
      </w:pPr>
      <w:r w:rsidRPr="00D671AB">
        <w:rPr>
          <w:rFonts w:ascii="Ebrima" w:hAnsi="Ebrima"/>
          <w:sz w:val="20"/>
        </w:rPr>
        <w:t xml:space="preserve">Please contact Allison K. Luke, JD, CHC, Executive Consultant, Pinnacle Enterprise Risk Consulting Services, at </w:t>
      </w:r>
      <w:hyperlink r:id="rId7" w:history="1">
        <w:r w:rsidR="000D4D65" w:rsidRPr="005F2D00">
          <w:rPr>
            <w:rStyle w:val="Hyperlink"/>
            <w:rFonts w:ascii="Ebrima" w:hAnsi="Ebrima"/>
            <w:sz w:val="20"/>
          </w:rPr>
          <w:t>aluke@askphc.com</w:t>
        </w:r>
      </w:hyperlink>
      <w:r w:rsidRPr="00D671AB">
        <w:rPr>
          <w:rFonts w:ascii="Ebrima" w:hAnsi="Ebrima"/>
          <w:sz w:val="20"/>
        </w:rPr>
        <w:t xml:space="preserve"> with any comments or questions.</w:t>
      </w:r>
    </w:p>
    <w:sectPr w:rsidR="00DA3F55" w:rsidRPr="00D671AB" w:rsidSect="002F17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56739" w14:textId="77777777" w:rsidR="004D6714" w:rsidRDefault="004D6714" w:rsidP="00D671AB">
      <w:pPr>
        <w:spacing w:line="240" w:lineRule="auto"/>
      </w:pPr>
      <w:r>
        <w:separator/>
      </w:r>
    </w:p>
  </w:endnote>
  <w:endnote w:type="continuationSeparator" w:id="0">
    <w:p w14:paraId="2927A883" w14:textId="77777777" w:rsidR="004D6714" w:rsidRDefault="004D6714" w:rsidP="00D671AB">
      <w:pPr>
        <w:spacing w:line="240" w:lineRule="auto"/>
      </w:pPr>
      <w:r>
        <w:continuationSeparator/>
      </w:r>
    </w:p>
  </w:endnote>
  <w:endnote w:type="continuationNotice" w:id="1">
    <w:p w14:paraId="36936D6E" w14:textId="77777777" w:rsidR="004D6714" w:rsidRDefault="004D67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E5434" w14:textId="77777777" w:rsidR="004D6714" w:rsidRDefault="004D6714" w:rsidP="00D671AB">
      <w:pPr>
        <w:spacing w:line="240" w:lineRule="auto"/>
      </w:pPr>
      <w:r>
        <w:separator/>
      </w:r>
    </w:p>
  </w:footnote>
  <w:footnote w:type="continuationSeparator" w:id="0">
    <w:p w14:paraId="6691F1B6" w14:textId="77777777" w:rsidR="004D6714" w:rsidRDefault="004D6714" w:rsidP="00D671AB">
      <w:pPr>
        <w:spacing w:line="240" w:lineRule="auto"/>
      </w:pPr>
      <w:r>
        <w:continuationSeparator/>
      </w:r>
    </w:p>
  </w:footnote>
  <w:footnote w:type="continuationNotice" w:id="1">
    <w:p w14:paraId="040A42DF" w14:textId="77777777" w:rsidR="004D6714" w:rsidRDefault="004D67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1209" w14:textId="0DC0BA4D" w:rsidR="00B26CFD" w:rsidRDefault="00B26CFD">
    <w:pPr>
      <w:pStyle w:val="Header"/>
    </w:pPr>
    <w:r>
      <w:rPr>
        <w:noProof/>
      </w:rPr>
      <w:drawing>
        <wp:inline distT="0" distB="0" distL="0" distR="0" wp14:anchorId="29181CFB" wp14:editId="60D08324">
          <wp:extent cx="952500" cy="388620"/>
          <wp:effectExtent l="0" t="0" r="0" b="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7D7EB" w14:textId="4CBB0148" w:rsidR="00B26CFD" w:rsidRPr="00B26CFD" w:rsidRDefault="00B26CFD">
    <w:pPr>
      <w:pStyle w:val="Header"/>
      <w:rPr>
        <w:rFonts w:ascii="Ebrima" w:hAnsi="Ebrima"/>
        <w:sz w:val="20"/>
        <w:szCs w:val="20"/>
      </w:rPr>
    </w:pPr>
  </w:p>
  <w:p w14:paraId="07F5AFD1" w14:textId="77777777" w:rsidR="00D671AB" w:rsidRPr="00D671AB" w:rsidRDefault="00D671AB">
    <w:pPr>
      <w:pStyle w:val="Header"/>
      <w:rPr>
        <w:rFonts w:ascii="Ebrima" w:hAnsi="Ebri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469C1"/>
    <w:multiLevelType w:val="hybridMultilevel"/>
    <w:tmpl w:val="DCD8C878"/>
    <w:lvl w:ilvl="0" w:tplc="273A2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2323"/>
    <w:multiLevelType w:val="hybridMultilevel"/>
    <w:tmpl w:val="C22818CA"/>
    <w:lvl w:ilvl="0" w:tplc="BE847A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i w:val="0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08"/>
    <w:rsid w:val="000A6540"/>
    <w:rsid w:val="000D4D65"/>
    <w:rsid w:val="0015070A"/>
    <w:rsid w:val="00164DDF"/>
    <w:rsid w:val="00193C4F"/>
    <w:rsid w:val="001B007A"/>
    <w:rsid w:val="001B6D88"/>
    <w:rsid w:val="00296C7B"/>
    <w:rsid w:val="002F17AB"/>
    <w:rsid w:val="004640CF"/>
    <w:rsid w:val="004D6714"/>
    <w:rsid w:val="005D6C08"/>
    <w:rsid w:val="00651701"/>
    <w:rsid w:val="00683BCE"/>
    <w:rsid w:val="00732AB7"/>
    <w:rsid w:val="007728B1"/>
    <w:rsid w:val="00781424"/>
    <w:rsid w:val="00877F81"/>
    <w:rsid w:val="00904E99"/>
    <w:rsid w:val="00937AAB"/>
    <w:rsid w:val="00A722D7"/>
    <w:rsid w:val="00A84747"/>
    <w:rsid w:val="00B26CFD"/>
    <w:rsid w:val="00BA6101"/>
    <w:rsid w:val="00BF6DA2"/>
    <w:rsid w:val="00C05398"/>
    <w:rsid w:val="00C538FD"/>
    <w:rsid w:val="00CA7ACB"/>
    <w:rsid w:val="00CB69AF"/>
    <w:rsid w:val="00CF67E7"/>
    <w:rsid w:val="00D671AB"/>
    <w:rsid w:val="00DA3F55"/>
    <w:rsid w:val="00E25FAC"/>
    <w:rsid w:val="00E40361"/>
    <w:rsid w:val="00F6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ED99"/>
  <w15:chartTrackingRefBased/>
  <w15:docId w15:val="{663A1A2C-A9DB-4C93-A1F9-E9816B99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6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6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E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71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AB"/>
  </w:style>
  <w:style w:type="paragraph" w:styleId="Footer">
    <w:name w:val="footer"/>
    <w:basedOn w:val="Normal"/>
    <w:link w:val="FooterChar"/>
    <w:uiPriority w:val="99"/>
    <w:unhideWhenUsed/>
    <w:rsid w:val="00D671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ke@askph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Luke</dc:creator>
  <cp:keywords/>
  <dc:description/>
  <cp:lastModifiedBy>Valerie Fitzgerald</cp:lastModifiedBy>
  <cp:revision>4</cp:revision>
  <dcterms:created xsi:type="dcterms:W3CDTF">2021-02-25T18:31:00Z</dcterms:created>
  <dcterms:modified xsi:type="dcterms:W3CDTF">2021-02-25T18:40:00Z</dcterms:modified>
</cp:coreProperties>
</file>